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Ind w:type="dxa" w:w="95"/>
        <w:tblLayout w:type="fixed"/>
      </w:tblPr>
      <w:tblGrid>
        <w:gridCol w:w="491"/>
        <w:gridCol w:w="4323"/>
        <w:gridCol w:w="1620"/>
        <w:gridCol w:w="1780"/>
        <w:gridCol w:w="1339"/>
      </w:tblGrid>
      <w:tr>
        <w:trPr>
          <w:trHeight w:hRule="atLeast" w:val="255"/>
        </w:trPr>
        <w:tc>
          <w:tcPr>
            <w:tcW w:type="dxa" w:w="9553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                                                                                 Приложение 8</w:t>
            </w:r>
          </w:p>
        </w:tc>
      </w:tr>
      <w:tr>
        <w:trPr>
          <w:trHeight w:hRule="atLeast" w:val="466"/>
        </w:trPr>
        <w:tc>
          <w:tcPr>
            <w:tcW w:type="dxa" w:w="9553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   к   решению</w:t>
            </w:r>
            <w:r>
              <w:rPr>
                <w:rFonts w:ascii="Times New Roman" w:hAnsi="Times New Roman"/>
                <w:sz w:val="20"/>
              </w:rPr>
              <w:t xml:space="preserve"> Гляденского</w:t>
            </w:r>
            <w:r>
              <w:rPr>
                <w:rFonts w:ascii="Times New Roman" w:hAnsi="Times New Roman"/>
                <w:sz w:val="20"/>
              </w:rPr>
              <w:t xml:space="preserve"> сельского</w:t>
            </w:r>
          </w:p>
          <w:p w14:paraId="0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Совета депутатов</w:t>
            </w:r>
          </w:p>
        </w:tc>
      </w:tr>
      <w:tr>
        <w:trPr>
          <w:trHeight w:hRule="atLeast" w:val="255"/>
        </w:trPr>
        <w:tc>
          <w:tcPr>
            <w:tcW w:type="dxa" w:w="9553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           от 13.12.2024  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  <w:t xml:space="preserve">.  № 47-181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>
        <w:trPr>
          <w:trHeight w:hRule="atLeast" w:val="690"/>
        </w:trPr>
        <w:tc>
          <w:tcPr>
            <w:tcW w:type="dxa" w:w="9553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Программа муниципальных внутренних заимствований муниципального образования Гляденский сельсовет </w:t>
            </w:r>
          </w:p>
        </w:tc>
      </w:tr>
      <w:tr>
        <w:trPr>
          <w:trHeight w:hRule="atLeast" w:val="315"/>
        </w:trPr>
        <w:tc>
          <w:tcPr>
            <w:tcW w:type="dxa" w:w="9553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 2025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 и плановый период 2026 -2027 годов</w:t>
            </w:r>
          </w:p>
        </w:tc>
      </w:tr>
      <w:tr>
        <w:trPr>
          <w:trHeight w:hRule="atLeast" w:val="255"/>
        </w:trPr>
        <w:tc>
          <w:tcPr>
            <w:tcW w:type="dxa" w:w="491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9000000">
            <w:pPr>
              <w:spacing w:after="0" w:line="240" w:lineRule="auto"/>
              <w:ind/>
              <w:rPr>
                <w:rFonts w:ascii="Arial" w:hAnsi="Arial"/>
                <w:sz w:val="20"/>
              </w:rPr>
            </w:pPr>
          </w:p>
        </w:tc>
        <w:tc>
          <w:tcPr>
            <w:tcW w:type="dxa" w:w="4323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2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8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39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рублей</w:t>
            </w:r>
          </w:p>
        </w:tc>
      </w:tr>
      <w:tr>
        <w:trPr>
          <w:trHeight w:hRule="atLeast" w:val="300"/>
        </w:trPr>
        <w:tc>
          <w:tcPr>
            <w:tcW w:type="dxa" w:w="4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type="dxa" w:w="43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Внутренние заимствования                                 (привлечение/ погашение)</w:t>
            </w:r>
          </w:p>
        </w:tc>
        <w:tc>
          <w:tcPr>
            <w:tcW w:type="dxa" w:w="473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</w:t>
            </w:r>
          </w:p>
        </w:tc>
      </w:tr>
      <w:tr>
        <w:trPr>
          <w:trHeight w:hRule="atLeast" w:val="509"/>
        </w:trPr>
        <w:tc>
          <w:tcPr>
            <w:tcW w:type="dxa" w:w="4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20"/>
            <w:vMerge w:val="restart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78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33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</w:tr>
      <w:tr>
        <w:trPr>
          <w:trHeight w:hRule="atLeast" w:val="509"/>
        </w:trPr>
        <w:tc>
          <w:tcPr>
            <w:tcW w:type="dxa" w:w="4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8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3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930"/>
        </w:trPr>
        <w:tc>
          <w:tcPr>
            <w:tcW w:type="dxa" w:w="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Бюджетные кредиты от других бюджетов бюджетной системы Российской </w:t>
            </w:r>
            <w:r>
              <w:rPr>
                <w:rFonts w:ascii="Times New Roman" w:hAnsi="Times New Roman"/>
              </w:rPr>
              <w:t>Федерации</w:t>
            </w:r>
          </w:p>
        </w:tc>
        <w:tc>
          <w:tcPr>
            <w:tcW w:type="dxa" w:w="16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</w:t>
            </w:r>
          </w:p>
        </w:tc>
        <w:tc>
          <w:tcPr>
            <w:tcW w:type="dxa" w:w="16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погашение</w:t>
            </w:r>
          </w:p>
        </w:tc>
        <w:tc>
          <w:tcPr>
            <w:tcW w:type="dxa" w:w="16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900"/>
        </w:trPr>
        <w:tc>
          <w:tcPr>
            <w:tcW w:type="dxa" w:w="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объем заимствований, направляемых на покрытие дефицита бюджета Гляденского сельсовета</w:t>
            </w:r>
          </w:p>
        </w:tc>
        <w:tc>
          <w:tcPr>
            <w:tcW w:type="dxa" w:w="16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4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</w:t>
            </w:r>
          </w:p>
        </w:tc>
        <w:tc>
          <w:tcPr>
            <w:tcW w:type="dxa" w:w="16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4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погашение</w:t>
            </w:r>
          </w:p>
        </w:tc>
        <w:tc>
          <w:tcPr>
            <w:tcW w:type="dxa" w:w="16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14:paraId="32000000"/>
    <w:p w14:paraId="33000000"/>
    <w:p w14:paraId="34000000"/>
    <w:p w14:paraId="35000000"/>
    <w:p w14:paraId="36000000"/>
    <w:p w14:paraId="37000000"/>
    <w:p w14:paraId="38000000"/>
    <w:p w14:paraId="39000000"/>
    <w:p w14:paraId="3A000000"/>
    <w:p w14:paraId="3B000000"/>
    <w:p w14:paraId="3C000000"/>
    <w:p w14:paraId="3D000000"/>
    <w:p w14:paraId="3E000000"/>
    <w:p w14:paraId="3F000000"/>
    <w:p w14:paraId="40000000"/>
    <w:p w14:paraId="41000000"/>
    <w:p w14:paraId="42000000"/>
    <w:tbl>
      <w:tblPr>
        <w:tblStyle w:val="Style_1"/>
        <w:tblInd w:type="dxa" w:w="-601"/>
        <w:tblLayout w:type="fixed"/>
      </w:tblPr>
      <w:tblGrid>
        <w:gridCol w:w="624"/>
        <w:gridCol w:w="1900"/>
        <w:gridCol w:w="1549"/>
        <w:gridCol w:w="747"/>
        <w:gridCol w:w="737"/>
        <w:gridCol w:w="731"/>
        <w:gridCol w:w="1345"/>
        <w:gridCol w:w="1432"/>
        <w:gridCol w:w="1544"/>
      </w:tblGrid>
      <w:tr>
        <w:trPr>
          <w:trHeight w:hRule="atLeast" w:val="255"/>
        </w:trPr>
        <w:tc>
          <w:tcPr>
            <w:tcW w:type="dxa" w:w="10609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3000000">
            <w:pPr>
              <w:spacing w:after="0" w:line="240" w:lineRule="auto"/>
              <w:ind w:right="86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                                                                         Приложение 9</w:t>
            </w:r>
          </w:p>
        </w:tc>
      </w:tr>
      <w:tr>
        <w:trPr>
          <w:trHeight w:hRule="atLeast" w:val="255"/>
        </w:trPr>
        <w:tc>
          <w:tcPr>
            <w:tcW w:type="dxa" w:w="10609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                к проекту  решения</w:t>
            </w:r>
            <w:r>
              <w:rPr>
                <w:rFonts w:ascii="Times New Roman" w:hAnsi="Times New Roman"/>
                <w:sz w:val="20"/>
              </w:rPr>
              <w:t xml:space="preserve"> Гляденск</w:t>
            </w:r>
            <w:r>
              <w:rPr>
                <w:rFonts w:ascii="Times New Roman" w:hAnsi="Times New Roman"/>
                <w:sz w:val="20"/>
              </w:rPr>
              <w:t>ого сельского</w:t>
            </w:r>
          </w:p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Совета депутатов</w:t>
            </w:r>
          </w:p>
        </w:tc>
      </w:tr>
      <w:tr>
        <w:trPr>
          <w:trHeight w:hRule="atLeast" w:val="255"/>
        </w:trPr>
        <w:tc>
          <w:tcPr>
            <w:tcW w:type="dxa" w:w="10609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                                                           от   г.  № </w:t>
            </w:r>
            <w:bookmarkStart w:id="1" w:name="_GoBack"/>
            <w:bookmarkEnd w:id="1"/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15"/>
        </w:trPr>
        <w:tc>
          <w:tcPr>
            <w:tcW w:type="dxa" w:w="10609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Программа</w:t>
            </w:r>
          </w:p>
        </w:tc>
      </w:tr>
      <w:tr>
        <w:trPr>
          <w:trHeight w:hRule="atLeast" w:val="675"/>
        </w:trPr>
        <w:tc>
          <w:tcPr>
            <w:tcW w:type="dxa" w:w="10609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муниципальных гарантий муниципального образования </w:t>
            </w:r>
            <w:r>
              <w:rPr>
                <w:rFonts w:ascii="Times New Roman" w:hAnsi="Times New Roman"/>
                <w:b w:val="1"/>
                <w:sz w:val="24"/>
              </w:rPr>
              <w:t>Гляденский сельсовет  в валюте Российской Федерации</w:t>
            </w:r>
          </w:p>
        </w:tc>
      </w:tr>
      <w:tr>
        <w:trPr>
          <w:trHeight w:hRule="atLeast" w:val="480"/>
        </w:trPr>
        <w:tc>
          <w:tcPr>
            <w:tcW w:type="dxa" w:w="10609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на 2025 год и плановый период 2026-2027 годов</w:t>
            </w:r>
          </w:p>
        </w:tc>
      </w:tr>
      <w:tr>
        <w:trPr>
          <w:trHeight w:hRule="atLeast" w:val="855"/>
        </w:trPr>
        <w:tc>
          <w:tcPr>
            <w:tcW w:type="dxa" w:w="10609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1. Перечень подлежащих предоставлению муниципальных  гарантий муниципального образования Гляденский сельсовет в 2022-2027</w:t>
            </w:r>
            <w:r>
              <w:rPr>
                <w:rFonts w:ascii="Times New Roman" w:hAnsi="Times New Roman"/>
              </w:rPr>
              <w:t xml:space="preserve"> годах                                                                                                       </w:t>
            </w:r>
          </w:p>
        </w:tc>
      </w:tr>
      <w:tr>
        <w:trPr>
          <w:trHeight w:hRule="atLeast" w:val="300"/>
        </w:trPr>
        <w:tc>
          <w:tcPr>
            <w:tcW w:type="dxa" w:w="6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1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(цель) гарантирования</w:t>
            </w:r>
          </w:p>
        </w:tc>
        <w:tc>
          <w:tcPr>
            <w:tcW w:type="dxa" w:w="15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и (или) наименование принципала</w:t>
            </w:r>
          </w:p>
        </w:tc>
        <w:tc>
          <w:tcPr>
            <w:tcW w:type="dxa" w:w="221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объем гарантий, рублей</w:t>
            </w:r>
          </w:p>
        </w:tc>
        <w:tc>
          <w:tcPr>
            <w:tcW w:type="dxa" w:w="13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права регрессного требован</w:t>
            </w:r>
            <w:r>
              <w:rPr>
                <w:rFonts w:ascii="Times New Roman" w:hAnsi="Times New Roman"/>
              </w:rPr>
              <w:t xml:space="preserve">ия </w:t>
            </w:r>
          </w:p>
        </w:tc>
        <w:tc>
          <w:tcPr>
            <w:tcW w:type="dxa" w:w="1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финансового состояния принципала</w:t>
            </w:r>
          </w:p>
        </w:tc>
        <w:tc>
          <w:tcPr>
            <w:tcW w:type="dxa" w:w="1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условия предоставления муниципальных гарантий</w:t>
            </w:r>
          </w:p>
        </w:tc>
      </w:tr>
      <w:tr>
        <w:trPr>
          <w:trHeight w:hRule="atLeast" w:val="300"/>
        </w:trPr>
        <w:tc>
          <w:tcPr>
            <w:tcW w:type="dxa" w:w="6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2026год</w:t>
            </w:r>
          </w:p>
        </w:tc>
        <w:tc>
          <w:tcPr>
            <w:tcW w:type="dxa" w:w="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3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rPr>
          <w:trHeight w:hRule="atLeast" w:val="600"/>
        </w:trPr>
        <w:tc>
          <w:tcPr>
            <w:tcW w:type="dxa" w:w="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Муниципальные гарантии  </w:t>
            </w:r>
          </w:p>
        </w:tc>
        <w:tc>
          <w:tcPr>
            <w:tcW w:type="dxa" w:w="15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300"/>
        </w:trPr>
        <w:tc>
          <w:tcPr>
            <w:tcW w:type="dxa" w:w="62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0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4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4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3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00"/>
        </w:trPr>
        <w:tc>
          <w:tcPr>
            <w:tcW w:type="dxa" w:w="62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0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4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4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3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00"/>
        </w:trPr>
        <w:tc>
          <w:tcPr>
            <w:tcW w:type="dxa" w:w="10609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Общий объем бюджетных ассигнований, предусмотренных на исполнение муниципальных гарантий муниципального образования Гляденский сельсовет по возможным гарантийным случаям в 2015 -2027 годах</w:t>
            </w:r>
          </w:p>
        </w:tc>
      </w:tr>
      <w:tr>
        <w:trPr>
          <w:trHeight w:hRule="atLeast" w:val="300"/>
        </w:trPr>
        <w:tc>
          <w:tcPr>
            <w:tcW w:type="dxa" w:w="62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0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4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4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3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255"/>
        </w:trPr>
        <w:tc>
          <w:tcPr>
            <w:tcW w:type="dxa" w:w="6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5664"/>
            <w:gridSpan w:val="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муниципальных гарантий Гляденского</w:t>
            </w:r>
            <w:r>
              <w:rPr>
                <w:rFonts w:ascii="Times New Roman" w:hAnsi="Times New Roman"/>
              </w:rPr>
              <w:t xml:space="preserve"> сельсовета Назаровского района</w:t>
            </w:r>
          </w:p>
        </w:tc>
        <w:tc>
          <w:tcPr>
            <w:tcW w:type="dxa" w:w="4321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объем бюджетных ассигнований на исполнение гарантий по возможным гарантийным случаям, рублей</w:t>
            </w:r>
          </w:p>
        </w:tc>
      </w:tr>
      <w:tr>
        <w:trPr>
          <w:trHeight w:hRule="atLeast" w:val="509"/>
        </w:trPr>
        <w:tc>
          <w:tcPr>
            <w:tcW w:type="dxa" w:w="6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64"/>
            <w:gridSpan w:val="5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21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6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64"/>
            <w:gridSpan w:val="5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4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</w:tr>
      <w:tr>
        <w:trPr>
          <w:trHeight w:hRule="atLeast" w:val="300"/>
        </w:trPr>
        <w:tc>
          <w:tcPr>
            <w:tcW w:type="dxa" w:w="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64"/>
            <w:gridSpan w:val="5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hRule="atLeast" w:val="300"/>
        </w:trPr>
        <w:tc>
          <w:tcPr>
            <w:tcW w:type="dxa" w:w="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64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счет источников финансирования дефицита  бюджета Гляденского сельсовета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95000000"/>
    <w:sectPr>
      <w:pgSz w:h="16838" w:w="11906"/>
      <w:pgMar w:bottom="1134" w:footer="708" w:gutter="0" w:header="708" w:left="1701" w:right="850" w:top="56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7_ch" w:type="character">
    <w:name w:val="heading 3"/>
    <w:link w:val="Style_7"/>
    <w:rPr>
      <w:rFonts w:ascii="XO Thames" w:hAnsi="XO Thames"/>
      <w:b w:val="1"/>
      <w:i w:val="1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</w:rPr>
  </w:style>
  <w:style w:styleId="Style_9_ch" w:type="character">
    <w:name w:val="heading 5"/>
    <w:link w:val="Style_9"/>
    <w:rPr>
      <w:rFonts w:ascii="XO Thames" w:hAnsi="XO Thames"/>
      <w:b w:val="1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rPr>
      <w:rFonts w:ascii="XO Thames" w:hAnsi="XO Thames"/>
    </w:rPr>
  </w:style>
  <w:style w:styleId="Style_14_ch" w:type="character">
    <w:name w:val="Footnote"/>
    <w:link w:val="Style_14"/>
    <w:rPr>
      <w:rFonts w:ascii="XO Thames" w:hAnsi="XO Thames"/>
    </w:rPr>
  </w:style>
  <w:style w:styleId="Style_15" w:type="paragraph">
    <w:name w:val="toc 1"/>
    <w:next w:val="Style_2"/>
    <w:link w:val="Style_15_ch"/>
    <w:uiPriority w:val="39"/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2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2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next w:val="Style_2"/>
    <w:link w:val="Style_24_ch"/>
    <w:uiPriority w:val="10"/>
    <w:qFormat/>
    <w:rPr>
      <w:rFonts w:ascii="XO Thames" w:hAnsi="XO Thames"/>
      <w:b w:val="1"/>
      <w:sz w:val="52"/>
    </w:rPr>
  </w:style>
  <w:style w:styleId="Style_24_ch" w:type="character">
    <w:name w:val="Title"/>
    <w:link w:val="Style_24"/>
    <w:rPr>
      <w:rFonts w:ascii="XO Thames" w:hAnsi="XO Thames"/>
      <w:b w:val="1"/>
      <w:sz w:val="52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2024-12-13T03:29:09Z</dcterms:modified>
</cp:coreProperties>
</file>