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ind/>
        <w:jc w:val="right"/>
        <w:rPr>
          <w:b w:val="1"/>
        </w:rPr>
      </w:pPr>
    </w:p>
    <w:p w14:paraId="02000000">
      <w:pPr>
        <w:ind/>
        <w:jc w:val="right"/>
      </w:pPr>
      <w:r>
        <w:t xml:space="preserve">Приложение </w:t>
      </w:r>
      <w:r>
        <w:t>1</w:t>
      </w:r>
    </w:p>
    <w:p w14:paraId="03000000">
      <w:pPr>
        <w:ind/>
        <w:jc w:val="right"/>
      </w:pPr>
      <w:r>
        <w:t xml:space="preserve"> к</w:t>
      </w:r>
      <w:r>
        <w:t xml:space="preserve"> </w:t>
      </w:r>
      <w:r>
        <w:t xml:space="preserve"> решению</w:t>
      </w:r>
      <w:r>
        <w:t xml:space="preserve">                                      </w:t>
      </w:r>
    </w:p>
    <w:p w14:paraId="04000000">
      <w:pPr>
        <w:ind/>
        <w:jc w:val="right"/>
      </w:pPr>
      <w:r>
        <w:t xml:space="preserve">                                                                      </w:t>
      </w:r>
      <w:r>
        <w:t>Гляденс</w:t>
      </w:r>
      <w:r>
        <w:t>кого сельского</w:t>
      </w:r>
    </w:p>
    <w:p w14:paraId="05000000">
      <w:pPr>
        <w:ind/>
        <w:jc w:val="right"/>
      </w:pPr>
      <w:r>
        <w:t xml:space="preserve">                                                           Совета депутатов</w:t>
      </w:r>
      <w:r>
        <w:t xml:space="preserve">                </w:t>
      </w:r>
      <w:r>
        <w:t xml:space="preserve">                                                                                                                     </w:t>
      </w:r>
      <w:r>
        <w:t xml:space="preserve">    </w:t>
      </w:r>
      <w:r>
        <w:t xml:space="preserve">        </w:t>
      </w:r>
      <w:r>
        <w:rPr>
          <w:b w:val="0"/>
          <w:sz w:val="20"/>
        </w:rPr>
        <w:t xml:space="preserve">от </w:t>
      </w:r>
      <w:r>
        <w:rPr>
          <w:b w:val="0"/>
          <w:sz w:val="20"/>
        </w:rPr>
        <w:t xml:space="preserve"> 27.12.2024</w:t>
      </w:r>
      <w:r>
        <w:rPr>
          <w:b w:val="0"/>
          <w:sz w:val="20"/>
        </w:rPr>
        <w:t xml:space="preserve"> </w:t>
      </w:r>
      <w:r>
        <w:rPr>
          <w:b w:val="0"/>
          <w:sz w:val="20"/>
        </w:rPr>
        <w:t>г</w:t>
      </w:r>
      <w:r>
        <w:rPr>
          <w:b w:val="0"/>
          <w:sz w:val="20"/>
        </w:rPr>
        <w:t xml:space="preserve">   </w:t>
      </w:r>
      <w:r>
        <w:rPr>
          <w:b w:val="0"/>
          <w:sz w:val="20"/>
        </w:rPr>
        <w:t xml:space="preserve">№ </w:t>
      </w:r>
      <w:r>
        <w:rPr>
          <w:b w:val="0"/>
          <w:sz w:val="20"/>
        </w:rPr>
        <w:t xml:space="preserve"> </w:t>
      </w:r>
      <w:r>
        <w:rPr>
          <w:b w:val="0"/>
          <w:sz w:val="20"/>
        </w:rPr>
        <w:t>48-184</w:t>
      </w:r>
    </w:p>
    <w:p w14:paraId="06000000">
      <w:pPr>
        <w:pStyle w:val="Style_1"/>
        <w:ind/>
        <w:jc w:val="right"/>
        <w:rPr>
          <w:b w:val="1"/>
        </w:rPr>
      </w:pPr>
      <w:r>
        <w:rPr>
          <w:sz w:val="18"/>
        </w:rPr>
        <w:t xml:space="preserve">   </w:t>
      </w:r>
      <w:r>
        <w:rPr>
          <w:b w:val="1"/>
        </w:rPr>
        <w:t xml:space="preserve"> </w:t>
      </w:r>
    </w:p>
    <w:p w14:paraId="07000000">
      <w:pPr>
        <w:ind/>
        <w:jc w:val="right"/>
      </w:pPr>
      <w:r>
        <w:t xml:space="preserve">Приложение </w:t>
      </w:r>
      <w:r>
        <w:t>1</w:t>
      </w:r>
    </w:p>
    <w:p w14:paraId="08000000">
      <w:pPr>
        <w:ind/>
        <w:jc w:val="right"/>
      </w:pPr>
      <w:r>
        <w:t xml:space="preserve"> к</w:t>
      </w:r>
      <w:r>
        <w:t xml:space="preserve"> </w:t>
      </w:r>
      <w:r>
        <w:t xml:space="preserve"> решению</w:t>
      </w:r>
      <w:r>
        <w:t xml:space="preserve">                                      </w:t>
      </w:r>
    </w:p>
    <w:p w14:paraId="09000000">
      <w:pPr>
        <w:ind/>
        <w:jc w:val="right"/>
      </w:pPr>
      <w:r>
        <w:t xml:space="preserve">                                                                      </w:t>
      </w:r>
      <w:r>
        <w:t>Гляденс</w:t>
      </w:r>
      <w:r>
        <w:t>кого сельского</w:t>
      </w:r>
    </w:p>
    <w:p w14:paraId="0A000000">
      <w:pPr>
        <w:ind/>
        <w:jc w:val="right"/>
      </w:pPr>
      <w:r>
        <w:t xml:space="preserve">                                                           Совета депутатов</w:t>
      </w:r>
    </w:p>
    <w:p w14:paraId="0B000000">
      <w:pPr>
        <w:ind/>
        <w:jc w:val="center"/>
      </w:pPr>
      <w:r>
        <w:t xml:space="preserve">                </w:t>
      </w:r>
      <w:r>
        <w:t xml:space="preserve">                                                                                                                     </w:t>
      </w:r>
      <w:r>
        <w:t xml:space="preserve">    </w:t>
      </w:r>
      <w:r>
        <w:t xml:space="preserve">        </w:t>
      </w:r>
      <w:r>
        <w:t xml:space="preserve">от 13.12.2023  </w:t>
      </w:r>
      <w:r>
        <w:t>г</w:t>
      </w:r>
      <w:r>
        <w:t xml:space="preserve">   </w:t>
      </w:r>
      <w:r>
        <w:t xml:space="preserve">№ </w:t>
      </w:r>
      <w:r>
        <w:t xml:space="preserve"> 38-139</w:t>
      </w:r>
      <w:r>
        <w:t xml:space="preserve">   </w:t>
      </w:r>
    </w:p>
    <w:p w14:paraId="0C000000">
      <w:pPr>
        <w:ind/>
        <w:jc w:val="center"/>
        <w:rPr>
          <w:sz w:val="24"/>
        </w:rPr>
      </w:pPr>
    </w:p>
    <w:tbl>
      <w:tblPr>
        <w:tblStyle w:val="Style_2"/>
        <w:tblInd w:type="dxa" w:w="-885"/>
        <w:tblLayout w:type="fixed"/>
      </w:tblPr>
      <w:tblGrid>
        <w:gridCol w:w="2977"/>
        <w:gridCol w:w="2977"/>
        <w:gridCol w:w="1560"/>
        <w:gridCol w:w="1196"/>
        <w:gridCol w:w="505"/>
        <w:gridCol w:w="1549"/>
      </w:tblGrid>
      <w:tr>
        <w:trPr>
          <w:trHeight w:hRule="atLeast" w:val="966"/>
        </w:trPr>
        <w:tc>
          <w:tcPr>
            <w:tcW w:type="dxa" w:w="871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D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Источники</w:t>
            </w:r>
            <w:r>
              <w:rPr>
                <w:b w:val="1"/>
                <w:sz w:val="24"/>
              </w:rPr>
              <w:t xml:space="preserve"> внутреннего</w:t>
            </w:r>
            <w:r>
              <w:rPr>
                <w:b w:val="1"/>
                <w:sz w:val="24"/>
              </w:rPr>
              <w:t xml:space="preserve"> финансирования дефицита</w:t>
            </w:r>
            <w:r>
              <w:rPr>
                <w:b w:val="1"/>
                <w:sz w:val="24"/>
              </w:rPr>
              <w:t xml:space="preserve"> бюджета Гляденского сельсовета</w:t>
            </w:r>
          </w:p>
          <w:p w14:paraId="0E000000">
            <w:pPr>
              <w:ind/>
              <w:jc w:val="center"/>
              <w:rPr>
                <w:b w:val="1"/>
                <w:sz w:val="24"/>
              </w:rPr>
            </w:pPr>
          </w:p>
          <w:p w14:paraId="0F000000">
            <w:pPr>
              <w:ind/>
              <w:jc w:val="center"/>
              <w:rPr>
                <w:b w:val="1"/>
                <w:sz w:val="24"/>
              </w:rPr>
            </w:pPr>
          </w:p>
        </w:tc>
        <w:tc>
          <w:tcPr>
            <w:tcW w:type="dxa" w:w="505"/>
          </w:tcPr>
          <w:p/>
        </w:tc>
        <w:tc>
          <w:tcPr>
            <w:tcW w:type="dxa" w:w="1549"/>
          </w:tcPr>
          <w:p/>
        </w:tc>
      </w:tr>
      <w:tr>
        <w:trPr>
          <w:trHeight w:hRule="atLeast" w:val="585"/>
        </w:trPr>
        <w:tc>
          <w:tcPr>
            <w:tcW w:type="dxa" w:w="29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type="dxa" w:w="4810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Сумма, </w:t>
            </w:r>
            <w:r>
              <w:rPr>
                <w:sz w:val="22"/>
              </w:rPr>
              <w:t>тыс.</w:t>
            </w:r>
            <w:r>
              <w:rPr>
                <w:sz w:val="22"/>
              </w:rPr>
              <w:t>руб</w:t>
            </w:r>
            <w:r>
              <w:rPr>
                <w:sz w:val="22"/>
              </w:rPr>
              <w:t>.</w:t>
            </w:r>
          </w:p>
        </w:tc>
      </w:tr>
      <w:tr>
        <w:trPr>
          <w:trHeight w:hRule="atLeast" w:val="366"/>
        </w:trPr>
        <w:tc>
          <w:tcPr>
            <w:tcW w:type="dxa" w:w="29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  <w:r>
              <w:rPr>
                <w:sz w:val="22"/>
              </w:rPr>
              <w:t xml:space="preserve"> год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2025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год</w:t>
            </w: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2026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год</w:t>
            </w:r>
          </w:p>
        </w:tc>
      </w:tr>
      <w:tr>
        <w:trPr>
          <w:trHeight w:hRule="atLeast" w:val="705"/>
        </w:trPr>
        <w:tc>
          <w:tcPr>
            <w:tcW w:type="dxa" w:w="29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rPr>
                <w:sz w:val="22"/>
              </w:rPr>
            </w:pPr>
            <w:r>
              <w:rPr>
                <w:sz w:val="22"/>
              </w:rPr>
              <w:t>8</w:t>
            </w:r>
            <w:r>
              <w:rPr>
                <w:sz w:val="22"/>
              </w:rPr>
              <w:t>0</w:t>
            </w:r>
            <w:r>
              <w:rPr>
                <w:sz w:val="22"/>
              </w:rPr>
              <w:t>7 01 00 00 00 00 0000 000</w:t>
            </w:r>
          </w:p>
        </w:tc>
        <w:tc>
          <w:tcPr>
            <w:tcW w:type="dxa" w:w="29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rPr>
                <w:sz w:val="22"/>
              </w:rPr>
            </w:pPr>
            <w:r>
              <w:rPr>
                <w:sz w:val="22"/>
              </w:rPr>
              <w:t>Источники внутреннего финансирования дефицита бюджета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470,3</w:t>
            </w:r>
          </w:p>
          <w:p w14:paraId="1900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1701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  <w:p w14:paraId="1B00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  <w:p w14:paraId="1D00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709"/>
        </w:trPr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7 01 05 00 00 00 0000 000</w:t>
            </w:r>
          </w:p>
        </w:tc>
        <w:tc>
          <w:tcPr>
            <w:tcW w:type="dxa" w:w="29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rPr>
                <w:sz w:val="22"/>
              </w:rPr>
            </w:pPr>
            <w:r>
              <w:rPr>
                <w:sz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470,3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>
        <w:trPr>
          <w:trHeight w:hRule="atLeast" w:val="563"/>
        </w:trPr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7 01 05 00 00 00 0000 500</w:t>
            </w:r>
          </w:p>
        </w:tc>
        <w:tc>
          <w:tcPr>
            <w:tcW w:type="dxa" w:w="29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rPr>
                <w:sz w:val="22"/>
              </w:rPr>
            </w:pPr>
            <w:r>
              <w:rPr>
                <w:sz w:val="22"/>
              </w:rPr>
              <w:t>Увеличение остатков средств бюджета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-6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4 018,4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z w:val="22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6 278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,3</w:t>
            </w: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z w:val="22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6 215,5</w:t>
            </w:r>
          </w:p>
        </w:tc>
      </w:tr>
      <w:tr>
        <w:trPr>
          <w:trHeight w:hRule="atLeast" w:val="557"/>
        </w:trPr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7 01 05 02 00 00 0000 500</w:t>
            </w:r>
          </w:p>
        </w:tc>
        <w:tc>
          <w:tcPr>
            <w:tcW w:type="dxa" w:w="29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rPr>
                <w:sz w:val="22"/>
              </w:rPr>
            </w:pPr>
            <w:r>
              <w:rPr>
                <w:sz w:val="22"/>
              </w:rPr>
              <w:t>Увеличение прочих остатков средств бюджета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-6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4 018,4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z w:val="22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6 278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,3</w:t>
            </w: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16 215,5</w:t>
            </w:r>
          </w:p>
        </w:tc>
      </w:tr>
      <w:tr>
        <w:trPr>
          <w:trHeight w:hRule="atLeast" w:val="565"/>
        </w:trPr>
        <w:tc>
          <w:tcPr>
            <w:tcW w:type="dxa" w:w="29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7  01 05 02 01 00 0000 510</w:t>
            </w:r>
          </w:p>
        </w:tc>
        <w:tc>
          <w:tcPr>
            <w:tcW w:type="dxa" w:w="29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rPr>
                <w:sz w:val="22"/>
              </w:rPr>
            </w:pPr>
            <w:r>
              <w:rPr>
                <w:sz w:val="22"/>
              </w:rPr>
              <w:t>Увеличение про</w:t>
            </w:r>
            <w:r>
              <w:rPr>
                <w:sz w:val="22"/>
              </w:rPr>
              <w:t>чих остатков денежных средств бюджета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4 018,4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z w:val="22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6 278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,3</w:t>
            </w: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16 215,5</w:t>
            </w:r>
          </w:p>
        </w:tc>
      </w:tr>
      <w:tr>
        <w:trPr>
          <w:trHeight w:hRule="atLeast" w:val="700"/>
        </w:trPr>
        <w:tc>
          <w:tcPr>
            <w:tcW w:type="dxa" w:w="29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7 01 05 02 01 10 0000 510</w:t>
            </w:r>
          </w:p>
        </w:tc>
        <w:tc>
          <w:tcPr>
            <w:tcW w:type="dxa" w:w="29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rPr>
                <w:sz w:val="22"/>
              </w:rPr>
            </w:pPr>
            <w:r>
              <w:rPr>
                <w:sz w:val="22"/>
              </w:rPr>
              <w:t>Увеличение прочих остатков денежных средств бюджета поселений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-6</w:t>
            </w:r>
            <w:r>
              <w:rPr>
                <w:sz w:val="22"/>
              </w:rPr>
              <w:t>4 018,4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-16 278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,3</w:t>
            </w: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16 215,5</w:t>
            </w:r>
          </w:p>
        </w:tc>
      </w:tr>
      <w:tr>
        <w:trPr>
          <w:trHeight w:hRule="atLeast" w:val="499"/>
        </w:trPr>
        <w:tc>
          <w:tcPr>
            <w:tcW w:type="dxa" w:w="29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7 01 05 00 00 00 0000 600</w:t>
            </w:r>
          </w:p>
        </w:tc>
        <w:tc>
          <w:tcPr>
            <w:tcW w:type="dxa" w:w="29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rPr>
                <w:sz w:val="22"/>
              </w:rPr>
            </w:pPr>
            <w:r>
              <w:rPr>
                <w:sz w:val="22"/>
              </w:rPr>
              <w:t>Уменьшение остатков средств бюджета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+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64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488,6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16 278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,3</w:t>
            </w: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16 215,5</w:t>
            </w:r>
          </w:p>
        </w:tc>
      </w:tr>
      <w:tr>
        <w:trPr>
          <w:trHeight w:hRule="atLeast" w:val="523"/>
        </w:trPr>
        <w:tc>
          <w:tcPr>
            <w:tcW w:type="dxa" w:w="29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7 01 05 02 00 00 0000 600</w:t>
            </w:r>
          </w:p>
        </w:tc>
        <w:tc>
          <w:tcPr>
            <w:tcW w:type="dxa" w:w="29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rPr>
                <w:sz w:val="22"/>
              </w:rPr>
            </w:pPr>
            <w:r>
              <w:rPr>
                <w:sz w:val="22"/>
              </w:rPr>
              <w:t>Уменьшение прочих остатков средств бюджета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+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64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488,6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16 278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,3</w:t>
            </w: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16 215,5</w:t>
            </w:r>
          </w:p>
        </w:tc>
      </w:tr>
      <w:tr>
        <w:trPr>
          <w:trHeight w:hRule="atLeast" w:val="443"/>
        </w:trPr>
        <w:tc>
          <w:tcPr>
            <w:tcW w:type="dxa" w:w="29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7 01 05 02 01 00 0000 610</w:t>
            </w:r>
          </w:p>
        </w:tc>
        <w:tc>
          <w:tcPr>
            <w:tcW w:type="dxa" w:w="29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rPr>
                <w:sz w:val="22"/>
              </w:rPr>
            </w:pPr>
            <w:r>
              <w:rPr>
                <w:sz w:val="22"/>
              </w:rPr>
              <w:t>Уменьшение прочих остатков денежных средств бюджета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ind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+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64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488,6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+1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6 278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,3</w:t>
            </w: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16 215,5</w:t>
            </w:r>
          </w:p>
        </w:tc>
      </w:tr>
      <w:tr>
        <w:trPr>
          <w:trHeight w:hRule="atLeast" w:val="762"/>
        </w:trPr>
        <w:tc>
          <w:tcPr>
            <w:tcW w:type="dxa" w:w="29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z w:val="22"/>
              </w:rPr>
              <w:t>7 01 05 02 01 10 0000 610</w:t>
            </w:r>
          </w:p>
        </w:tc>
        <w:tc>
          <w:tcPr>
            <w:tcW w:type="dxa" w:w="29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rPr>
                <w:sz w:val="22"/>
              </w:rPr>
            </w:pPr>
            <w:r>
              <w:rPr>
                <w:sz w:val="22"/>
              </w:rPr>
              <w:t>Уменьшение прочих остатков денежных средств бюджета поселения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+64</w:t>
            </w:r>
            <w:r>
              <w:rPr>
                <w:sz w:val="22"/>
              </w:rPr>
              <w:t xml:space="preserve"> 488,6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  <w:r>
              <w:rPr>
                <w:sz w:val="22"/>
              </w:rPr>
              <w:t>16 278</w:t>
            </w:r>
            <w:r>
              <w:rPr>
                <w:sz w:val="22"/>
              </w:rPr>
              <w:t>,3</w:t>
            </w:r>
          </w:p>
        </w:tc>
        <w:tc>
          <w:tcPr>
            <w:tcW w:type="dxa" w:w="154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+</w:t>
            </w:r>
            <w:r>
              <w:rPr>
                <w:sz w:val="22"/>
              </w:rPr>
              <w:t>16 215,5</w:t>
            </w:r>
          </w:p>
        </w:tc>
      </w:tr>
    </w:tbl>
    <w:p w14:paraId="4B000000">
      <w:pPr>
        <w:ind/>
        <w:jc w:val="right"/>
        <w:rPr>
          <w:sz w:val="24"/>
        </w:rPr>
      </w:pPr>
    </w:p>
    <w:p w14:paraId="4C000000">
      <w:pPr>
        <w:ind/>
        <w:jc w:val="right"/>
        <w:rPr>
          <w:sz w:val="24"/>
        </w:rPr>
      </w:pPr>
    </w:p>
    <w:p w14:paraId="4D000000">
      <w:pPr>
        <w:ind/>
        <w:jc w:val="right"/>
      </w:pPr>
    </w:p>
    <w:p w14:paraId="4E000000">
      <w:pPr>
        <w:ind/>
        <w:jc w:val="right"/>
      </w:pPr>
    </w:p>
    <w:p w14:paraId="4F000000">
      <w:pPr>
        <w:ind/>
        <w:jc w:val="right"/>
      </w:pPr>
    </w:p>
    <w:p w14:paraId="50000000">
      <w:pPr>
        <w:ind/>
        <w:jc w:val="right"/>
      </w:pPr>
    </w:p>
    <w:p w14:paraId="51000000">
      <w:pPr>
        <w:ind/>
        <w:jc w:val="right"/>
      </w:pPr>
    </w:p>
    <w:p w14:paraId="52000000">
      <w:pPr>
        <w:ind/>
        <w:jc w:val="right"/>
      </w:pPr>
    </w:p>
    <w:p w14:paraId="53000000">
      <w:pPr>
        <w:ind/>
        <w:jc w:val="right"/>
      </w:pPr>
    </w:p>
    <w:p w14:paraId="54000000">
      <w:pPr>
        <w:ind/>
        <w:jc w:val="right"/>
      </w:pPr>
    </w:p>
    <w:p w14:paraId="55000000">
      <w:pPr>
        <w:ind/>
        <w:jc w:val="right"/>
      </w:pPr>
    </w:p>
    <w:p w14:paraId="56000000">
      <w:pPr>
        <w:ind/>
        <w:jc w:val="right"/>
      </w:pPr>
    </w:p>
    <w:p w14:paraId="57000000">
      <w:pPr>
        <w:ind/>
        <w:jc w:val="right"/>
      </w:pPr>
    </w:p>
    <w:p w14:paraId="58000000">
      <w:pPr>
        <w:ind/>
        <w:jc w:val="right"/>
      </w:pPr>
    </w:p>
    <w:p w14:paraId="59000000">
      <w:pPr>
        <w:ind/>
        <w:jc w:val="right"/>
      </w:pPr>
    </w:p>
    <w:p w14:paraId="5A000000">
      <w:pPr>
        <w:ind/>
        <w:jc w:val="right"/>
      </w:pPr>
    </w:p>
    <w:p w14:paraId="5B000000">
      <w:pPr>
        <w:rPr>
          <w:sz w:val="24"/>
        </w:rPr>
      </w:pPr>
    </w:p>
    <w:sectPr>
      <w:pgSz w:h="16838" w:w="11906"/>
      <w:pgMar w:bottom="567" w:footer="709" w:gutter="0" w:header="709" w:left="1701" w:right="567" w:top="36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</w:style>
  <w:style w:styleId="Style_4_ch" w:type="character">
    <w:name w:val="toc 2"/>
    <w:link w:val="Style_4"/>
  </w:style>
  <w:style w:styleId="Style_5" w:type="paragraph">
    <w:name w:val="toc 4"/>
    <w:next w:val="Style_3"/>
    <w:link w:val="Style_5_ch"/>
    <w:uiPriority w:val="39"/>
    <w:pPr>
      <w:ind w:firstLine="0" w:left="600"/>
    </w:pPr>
  </w:style>
  <w:style w:styleId="Style_5_ch" w:type="character">
    <w:name w:val="toc 4"/>
    <w:link w:val="Style_5"/>
  </w:style>
  <w:style w:styleId="Style_6" w:type="paragraph">
    <w:name w:val="toc 6"/>
    <w:next w:val="Style_3"/>
    <w:link w:val="Style_6_ch"/>
    <w:uiPriority w:val="39"/>
    <w:pPr>
      <w:ind w:firstLine="0" w:left="1000"/>
    </w:pPr>
  </w:style>
  <w:style w:styleId="Style_6_ch" w:type="character">
    <w:name w:val="toc 6"/>
    <w:link w:val="Style_6"/>
  </w:style>
  <w:style w:styleId="Style_7" w:type="paragraph">
    <w:name w:val="toc 7"/>
    <w:next w:val="Style_3"/>
    <w:link w:val="Style_7_ch"/>
    <w:uiPriority w:val="39"/>
    <w:pPr>
      <w:ind w:firstLine="0" w:left="1200"/>
    </w:pPr>
  </w:style>
  <w:style w:styleId="Style_7_ch" w:type="character">
    <w:name w:val="toc 7"/>
    <w:link w:val="Style_7"/>
  </w:style>
  <w:style w:styleId="Style_8" w:type="paragraph">
    <w:name w:val="heading 3"/>
    <w:basedOn w:val="Style_3"/>
    <w:next w:val="Style_3"/>
    <w:link w:val="Style_8_ch"/>
    <w:uiPriority w:val="9"/>
    <w:qFormat/>
    <w:pPr>
      <w:keepNext w:val="1"/>
      <w:spacing w:after="240" w:before="240"/>
      <w:ind w:firstLine="720"/>
      <w:jc w:val="both"/>
      <w:outlineLvl w:val="2"/>
    </w:pPr>
    <w:rPr>
      <w:sz w:val="28"/>
    </w:rPr>
  </w:style>
  <w:style w:styleId="Style_8_ch" w:type="character">
    <w:name w:val="heading 3"/>
    <w:basedOn w:val="Style_3_ch"/>
    <w:link w:val="Style_8"/>
    <w:rPr>
      <w:sz w:val="28"/>
    </w:rPr>
  </w:style>
  <w:style w:styleId="Style_9" w:type="paragraph">
    <w:name w:val=" Знак Знак Знак"/>
    <w:basedOn w:val="Style_3"/>
    <w:link w:val="Style_9_ch"/>
    <w:pPr>
      <w:spacing w:after="160" w:line="240" w:lineRule="exact"/>
      <w:ind/>
    </w:pPr>
    <w:rPr>
      <w:rFonts w:ascii="Verdana" w:hAnsi="Verdana"/>
    </w:rPr>
  </w:style>
  <w:style w:styleId="Style_9_ch" w:type="character">
    <w:name w:val=" Знак Знак Знак"/>
    <w:basedOn w:val="Style_3_ch"/>
    <w:link w:val="Style_9"/>
    <w:rPr>
      <w:rFonts w:ascii="Verdana" w:hAnsi="Verdana"/>
    </w:rPr>
  </w:style>
  <w:style w:styleId="Style_10" w:type="paragraph">
    <w:name w:val="Body Text Indent"/>
    <w:basedOn w:val="Style_3"/>
    <w:link w:val="Style_10_ch"/>
    <w:pPr>
      <w:spacing w:after="120"/>
      <w:ind w:firstLine="0" w:left="283"/>
    </w:pPr>
  </w:style>
  <w:style w:styleId="Style_10_ch" w:type="character">
    <w:name w:val="Body Text Indent"/>
    <w:basedOn w:val="Style_3_ch"/>
    <w:link w:val="Style_10"/>
  </w:style>
  <w:style w:styleId="Style_11" w:type="paragraph">
    <w:name w:val="ConsTitle"/>
    <w:link w:val="Style_11_ch"/>
    <w:pPr>
      <w:widowControl w:val="0"/>
      <w:ind/>
    </w:pPr>
    <w:rPr>
      <w:rFonts w:ascii="Arial" w:hAnsi="Arial"/>
      <w:b w:val="1"/>
      <w:sz w:val="16"/>
    </w:rPr>
  </w:style>
  <w:style w:styleId="Style_11_ch" w:type="character">
    <w:name w:val="ConsTitle"/>
    <w:link w:val="Style_11"/>
    <w:rPr>
      <w:rFonts w:ascii="Arial" w:hAnsi="Arial"/>
      <w:b w:val="1"/>
      <w:sz w:val="16"/>
    </w:rPr>
  </w:style>
  <w:style w:styleId="Style_12" w:type="paragraph">
    <w:name w:val="Strong"/>
    <w:link w:val="Style_12_ch"/>
    <w:rPr>
      <w:b w:val="1"/>
    </w:rPr>
  </w:style>
  <w:style w:styleId="Style_12_ch" w:type="character">
    <w:name w:val="Strong"/>
    <w:link w:val="Style_12"/>
    <w:rPr>
      <w:b w:val="1"/>
    </w:rPr>
  </w:style>
  <w:style w:styleId="Style_13" w:type="paragraph">
    <w:name w:val="toc 3"/>
    <w:next w:val="Style_3"/>
    <w:link w:val="Style_13_ch"/>
    <w:uiPriority w:val="39"/>
    <w:pPr>
      <w:ind w:firstLine="0" w:left="400"/>
    </w:pPr>
  </w:style>
  <w:style w:styleId="Style_13_ch" w:type="character">
    <w:name w:val="toc 3"/>
    <w:link w:val="Style_13"/>
  </w:style>
  <w:style w:styleId="Style_14" w:type="paragraph">
    <w:name w:val="heading 5"/>
    <w:next w:val="Style_3"/>
    <w:link w:val="Style_14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4_ch" w:type="character">
    <w:name w:val="heading 5"/>
    <w:link w:val="Style_14"/>
    <w:rPr>
      <w:rFonts w:ascii="XO Thames" w:hAnsi="XO Thames"/>
      <w:b w:val="1"/>
      <w:color w:val="000000"/>
      <w:sz w:val="22"/>
    </w:rPr>
  </w:style>
  <w:style w:styleId="Style_15" w:type="paragraph">
    <w:name w:val="heading 1"/>
    <w:basedOn w:val="Style_3"/>
    <w:next w:val="Style_3"/>
    <w:link w:val="Style_15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15_ch" w:type="character">
    <w:name w:val="heading 1"/>
    <w:basedOn w:val="Style_3_ch"/>
    <w:link w:val="Style_15"/>
    <w:rPr>
      <w:rFonts w:ascii="Arial" w:hAnsi="Arial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/>
      <w:jc w:val="left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</w:pPr>
    <w:rPr>
      <w:rFonts w:ascii="XO Thames" w:hAnsi="XO Thames"/>
      <w:b w:val="1"/>
    </w:rPr>
  </w:style>
  <w:style w:styleId="Style_18_ch" w:type="character">
    <w:name w:val="toc 1"/>
    <w:link w:val="Style_18"/>
    <w:rPr>
      <w:rFonts w:ascii="XO Thames" w:hAnsi="XO Thames"/>
      <w:b w:val="1"/>
    </w:rPr>
  </w:style>
  <w:style w:styleId="Style_19" w:type="paragraph">
    <w:name w:val="Header and Footer"/>
    <w:link w:val="Style_19_ch"/>
    <w:pPr>
      <w:spacing w:line="360" w:lineRule="auto"/>
      <w:ind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Balloon Text"/>
    <w:basedOn w:val="Style_3"/>
    <w:link w:val="Style_20_ch"/>
    <w:rPr>
      <w:rFonts w:ascii="Tahoma" w:hAnsi="Tahoma"/>
      <w:sz w:val="16"/>
    </w:rPr>
  </w:style>
  <w:style w:styleId="Style_20_ch" w:type="character">
    <w:name w:val="Balloon Text"/>
    <w:basedOn w:val="Style_3_ch"/>
    <w:link w:val="Style_20"/>
    <w:rPr>
      <w:rFonts w:ascii="Tahoma" w:hAnsi="Tahoma"/>
      <w:sz w:val="16"/>
    </w:rPr>
  </w:style>
  <w:style w:styleId="Style_21" w:type="paragraph">
    <w:name w:val="toc 9"/>
    <w:next w:val="Style_3"/>
    <w:link w:val="Style_21_ch"/>
    <w:uiPriority w:val="39"/>
    <w:pPr>
      <w:ind w:firstLine="0" w:left="1600"/>
    </w:pPr>
  </w:style>
  <w:style w:styleId="Style_21_ch" w:type="character">
    <w:name w:val="toc 9"/>
    <w:link w:val="Style_21"/>
  </w:style>
  <w:style w:styleId="Style_1" w:type="paragraph">
    <w:name w:val="Body Text"/>
    <w:basedOn w:val="Style_3"/>
    <w:link w:val="Style_1_ch"/>
    <w:pPr>
      <w:ind/>
      <w:jc w:val="both"/>
    </w:pPr>
    <w:rPr>
      <w:sz w:val="28"/>
    </w:rPr>
  </w:style>
  <w:style w:styleId="Style_1_ch" w:type="character">
    <w:name w:val="Body Text"/>
    <w:basedOn w:val="Style_3_ch"/>
    <w:link w:val="Style_1"/>
    <w:rPr>
      <w:sz w:val="28"/>
    </w:rPr>
  </w:style>
  <w:style w:styleId="Style_22" w:type="paragraph">
    <w:name w:val="ConsNormal"/>
    <w:link w:val="Style_22_ch"/>
    <w:pPr>
      <w:widowControl w:val="0"/>
      <w:ind w:firstLine="720"/>
    </w:pPr>
    <w:rPr>
      <w:rFonts w:ascii="Arial" w:hAnsi="Arial"/>
    </w:rPr>
  </w:style>
  <w:style w:styleId="Style_22_ch" w:type="character">
    <w:name w:val="ConsNormal"/>
    <w:link w:val="Style_22"/>
    <w:rPr>
      <w:rFonts w:ascii="Arial" w:hAnsi="Arial"/>
    </w:rPr>
  </w:style>
  <w:style w:styleId="Style_23" w:type="paragraph">
    <w:name w:val="toc 8"/>
    <w:next w:val="Style_3"/>
    <w:link w:val="Style_23_ch"/>
    <w:uiPriority w:val="39"/>
    <w:pPr>
      <w:ind w:firstLine="0" w:left="1400"/>
    </w:pPr>
  </w:style>
  <w:style w:styleId="Style_23_ch" w:type="character">
    <w:name w:val="toc 8"/>
    <w:link w:val="Style_23"/>
  </w:style>
  <w:style w:styleId="Style_24" w:type="paragraph">
    <w:name w:val="Normal (Web)"/>
    <w:basedOn w:val="Style_3"/>
    <w:link w:val="Style_24_ch"/>
    <w:pPr>
      <w:spacing w:afterAutospacing="on" w:beforeAutospacing="on"/>
      <w:ind w:firstLine="860"/>
    </w:pPr>
    <w:rPr>
      <w:rFonts w:ascii="Arial" w:hAnsi="Arial"/>
      <w:color w:val="000000"/>
      <w:sz w:val="26"/>
    </w:rPr>
  </w:style>
  <w:style w:styleId="Style_24_ch" w:type="character">
    <w:name w:val="Normal (Web)"/>
    <w:basedOn w:val="Style_3_ch"/>
    <w:link w:val="Style_24"/>
    <w:rPr>
      <w:rFonts w:ascii="Arial" w:hAnsi="Arial"/>
      <w:color w:val="000000"/>
      <w:sz w:val="26"/>
    </w:rPr>
  </w:style>
  <w:style w:styleId="Style_25" w:type="paragraph">
    <w:name w:val="toc 5"/>
    <w:next w:val="Style_3"/>
    <w:link w:val="Style_25_ch"/>
    <w:uiPriority w:val="39"/>
    <w:pPr>
      <w:ind w:firstLine="0" w:left="800"/>
    </w:pPr>
  </w:style>
  <w:style w:styleId="Style_25_ch" w:type="character">
    <w:name w:val="toc 5"/>
    <w:link w:val="Style_25"/>
  </w:style>
  <w:style w:styleId="Style_26" w:type="paragraph">
    <w:name w:val="Subtitle"/>
    <w:next w:val="Style_3"/>
    <w:link w:val="Style_26_ch"/>
    <w:uiPriority w:val="11"/>
    <w:qFormat/>
    <w:rPr>
      <w:rFonts w:ascii="XO Thames" w:hAnsi="XO Thames"/>
      <w:i w:val="1"/>
      <w:color w:val="616161"/>
      <w:sz w:val="24"/>
    </w:rPr>
  </w:style>
  <w:style w:styleId="Style_26_ch" w:type="character">
    <w:name w:val="Subtitle"/>
    <w:link w:val="Style_26"/>
    <w:rPr>
      <w:rFonts w:ascii="XO Thames" w:hAnsi="XO Thames"/>
      <w:i w:val="1"/>
      <w:color w:val="616161"/>
      <w:sz w:val="24"/>
    </w:rPr>
  </w:style>
  <w:style w:styleId="Style_27" w:type="paragraph">
    <w:name w:val="toc 10"/>
    <w:next w:val="Style_3"/>
    <w:link w:val="Style_27_ch"/>
    <w:uiPriority w:val="39"/>
    <w:pPr>
      <w:ind w:firstLine="0" w:left="1800"/>
    </w:pPr>
  </w:style>
  <w:style w:styleId="Style_27_ch" w:type="character">
    <w:name w:val="toc 10"/>
    <w:link w:val="Style_27"/>
  </w:style>
  <w:style w:styleId="Style_28" w:type="paragraph">
    <w:name w:val="Title"/>
    <w:next w:val="Style_3"/>
    <w:link w:val="Style_28_ch"/>
    <w:uiPriority w:val="10"/>
    <w:qFormat/>
    <w:rPr>
      <w:rFonts w:ascii="XO Thames" w:hAnsi="XO Thames"/>
      <w:b w:val="1"/>
      <w:sz w:val="52"/>
    </w:rPr>
  </w:style>
  <w:style w:styleId="Style_28_ch" w:type="character">
    <w:name w:val="Title"/>
    <w:link w:val="Style_28"/>
    <w:rPr>
      <w:rFonts w:ascii="XO Thames" w:hAnsi="XO Thames"/>
      <w:b w:val="1"/>
      <w:sz w:val="52"/>
    </w:rPr>
  </w:style>
  <w:style w:styleId="Style_29" w:type="paragraph">
    <w:name w:val="heading 4"/>
    <w:next w:val="Style_3"/>
    <w:link w:val="Style_29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9_ch" w:type="character">
    <w:name w:val="heading 4"/>
    <w:link w:val="Style_29"/>
    <w:rPr>
      <w:rFonts w:ascii="XO Thames" w:hAnsi="XO Thames"/>
      <w:b w:val="1"/>
      <w:color w:val="595959"/>
      <w:sz w:val="26"/>
    </w:rPr>
  </w:style>
  <w:style w:styleId="Style_30" w:type="paragraph">
    <w:name w:val="heading 2"/>
    <w:basedOn w:val="Style_3"/>
    <w:next w:val="Style_3"/>
    <w:link w:val="Style_30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30_ch" w:type="character">
    <w:name w:val="heading 2"/>
    <w:basedOn w:val="Style_3_ch"/>
    <w:link w:val="Style_30"/>
    <w:rPr>
      <w:rFonts w:ascii="Arial" w:hAnsi="Arial"/>
      <w:b w:val="1"/>
      <w:i w:val="1"/>
      <w:sz w:val="28"/>
    </w:rPr>
  </w:style>
  <w:style w:styleId="Style_31" w:type="paragraph">
    <w:name w:val="Default Paragraph Font"/>
    <w:link w:val="Style_31_ch"/>
  </w:style>
  <w:style w:styleId="Style_31_ch" w:type="character">
    <w:name w:val="Default Paragraph Font"/>
    <w:link w:val="Style_31"/>
  </w:style>
  <w:style w:styleId="Style_32" w:type="paragraph">
    <w:name w:val="ConsPlusNormal"/>
    <w:link w:val="Style_32_ch"/>
    <w:pPr>
      <w:ind w:firstLine="720"/>
    </w:pPr>
    <w:rPr>
      <w:rFonts w:ascii="Arial" w:hAnsi="Arial"/>
    </w:rPr>
  </w:style>
  <w:style w:styleId="Style_32_ch" w:type="character">
    <w:name w:val="ConsPlusNormal"/>
    <w:link w:val="Style_32"/>
    <w:rPr>
      <w:rFonts w:ascii="Arial" w:hAnsi="Arial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3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2025-01-13T07:01:07Z</dcterms:modified>
</cp:coreProperties>
</file>