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b w:val="1"/>
          <w:sz w:val="29"/>
        </w:rPr>
      </w:pPr>
      <w:r>
        <w:rPr>
          <w:b w:val="1"/>
          <w:sz w:val="29"/>
        </w:rPr>
        <w:t>Администрация Гляденского сельсовета</w:t>
      </w:r>
    </w:p>
    <w:p w14:paraId="02000000">
      <w:pPr>
        <w:pStyle w:val="Style_1"/>
        <w:ind/>
        <w:jc w:val="center"/>
        <w:rPr>
          <w:sz w:val="29"/>
        </w:rPr>
      </w:pPr>
      <w:r>
        <w:rPr>
          <w:sz w:val="29"/>
        </w:rPr>
        <w:t>Назаровского района</w:t>
      </w:r>
    </w:p>
    <w:p w14:paraId="03000000">
      <w:pPr>
        <w:pStyle w:val="Style_1"/>
        <w:ind/>
        <w:jc w:val="center"/>
        <w:rPr>
          <w:sz w:val="29"/>
        </w:rPr>
      </w:pPr>
      <w:r>
        <w:rPr>
          <w:sz w:val="29"/>
        </w:rPr>
        <w:t>Красноярского края</w:t>
      </w:r>
    </w:p>
    <w:p w14:paraId="04000000">
      <w:pPr>
        <w:pStyle w:val="Style_1"/>
        <w:ind/>
        <w:jc w:val="center"/>
        <w:rPr>
          <w:sz w:val="29"/>
        </w:rPr>
      </w:pPr>
    </w:p>
    <w:p w14:paraId="05000000">
      <w:pPr>
        <w:pStyle w:val="Style_1"/>
        <w:ind/>
        <w:jc w:val="center"/>
        <w:rPr>
          <w:sz w:val="29"/>
        </w:rPr>
      </w:pPr>
    </w:p>
    <w:p w14:paraId="06000000">
      <w:pPr>
        <w:pStyle w:val="Style_1"/>
        <w:ind/>
        <w:jc w:val="center"/>
        <w:rPr>
          <w:b w:val="1"/>
          <w:sz w:val="29"/>
        </w:rPr>
      </w:pPr>
      <w:r>
        <w:rPr>
          <w:b w:val="1"/>
          <w:sz w:val="29"/>
        </w:rPr>
        <w:t>ПОСТАНОВЛЕНИЕ</w:t>
      </w:r>
    </w:p>
    <w:p w14:paraId="07000000">
      <w:pPr>
        <w:pStyle w:val="Style_1"/>
        <w:ind/>
        <w:jc w:val="center"/>
        <w:rPr>
          <w:sz w:val="29"/>
        </w:rPr>
      </w:pPr>
    </w:p>
    <w:p w14:paraId="08000000">
      <w:pPr>
        <w:pStyle w:val="Style_1"/>
        <w:ind/>
        <w:jc w:val="center"/>
        <w:rPr>
          <w:sz w:val="29"/>
        </w:rPr>
      </w:pPr>
    </w:p>
    <w:p w14:paraId="09000000">
      <w:pPr>
        <w:pStyle w:val="Style_1"/>
        <w:rPr>
          <w:sz w:val="29"/>
        </w:rPr>
      </w:pPr>
      <w:r>
        <w:rPr>
          <w:sz w:val="29"/>
        </w:rPr>
        <w:t xml:space="preserve">13.12.2024                                  п. Глядень                                          </w:t>
      </w:r>
      <w:r>
        <w:rPr>
          <w:b w:val="1"/>
          <w:sz w:val="29"/>
        </w:rPr>
        <w:t xml:space="preserve"> </w:t>
      </w:r>
      <w:r>
        <w:rPr>
          <w:sz w:val="29"/>
        </w:rPr>
        <w:t>№ 104-П</w:t>
      </w:r>
      <w:r>
        <w:rPr>
          <w:sz w:val="29"/>
        </w:rPr>
        <w:t xml:space="preserve">                                         </w:t>
      </w:r>
    </w:p>
    <w:p w14:paraId="0A000000">
      <w:pPr>
        <w:pStyle w:val="Style_1"/>
        <w:ind/>
        <w:jc w:val="both"/>
        <w:rPr>
          <w:sz w:val="29"/>
        </w:rPr>
      </w:pPr>
    </w:p>
    <w:p w14:paraId="0B000000">
      <w:pPr>
        <w:pStyle w:val="Style_1"/>
        <w:ind/>
        <w:jc w:val="both"/>
        <w:rPr>
          <w:sz w:val="29"/>
        </w:rPr>
      </w:pPr>
    </w:p>
    <w:p w14:paraId="0C000000">
      <w:pPr>
        <w:pStyle w:val="Style_2"/>
        <w:ind/>
        <w:outlineLvl w:val="0"/>
      </w:pPr>
      <w:r>
        <w:t xml:space="preserve">Об </w:t>
      </w:r>
      <w:r>
        <w:t>утверждении перечня главных администраторов доходов бюджета Гляденского сельсовета  и закрепленных за ними доходных источников.</w:t>
      </w:r>
    </w:p>
    <w:p w14:paraId="0D000000">
      <w:pPr>
        <w:pStyle w:val="Style_2"/>
        <w:ind/>
        <w:outlineLvl w:val="0"/>
      </w:pPr>
      <w:r>
        <w:tab/>
      </w:r>
    </w:p>
    <w:p w14:paraId="0E000000">
      <w:pPr>
        <w:pStyle w:val="Style_1"/>
        <w:ind w:firstLine="690"/>
        <w:jc w:val="both"/>
        <w:rPr>
          <w:sz w:val="29"/>
        </w:rPr>
      </w:pPr>
      <w:r>
        <w:rPr>
          <w:sz w:val="28"/>
        </w:rPr>
        <w:t xml:space="preserve">     </w:t>
      </w:r>
      <w:r>
        <w:rPr>
          <w:sz w:val="28"/>
        </w:rPr>
        <w:t>В соответствии с пунктом 3.2 статьи 160.1, Бюджетного кодекса Российской Федерации, постановлением Правительства Российск</w:t>
      </w:r>
      <w:r>
        <w:rPr>
          <w:sz w:val="28"/>
        </w:rPr>
        <w:t>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</w:t>
      </w:r>
      <w:r>
        <w:rPr>
          <w:sz w:val="28"/>
        </w:rPr>
        <w:t>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rPr>
          <w:sz w:val="28"/>
        </w:rPr>
        <w:t xml:space="preserve"> Российской Федерации, бюджета территориального фонда обязательн</w:t>
      </w:r>
      <w:r>
        <w:rPr>
          <w:sz w:val="28"/>
        </w:rPr>
        <w:t>ого медицинского страхования, местного бюджета», ПОСТАНОВЛЯЮ</w:t>
      </w:r>
      <w:r>
        <w:rPr>
          <w:sz w:val="29"/>
        </w:rPr>
        <w:t>:</w:t>
      </w:r>
    </w:p>
    <w:p w14:paraId="0F000000">
      <w:pPr>
        <w:pStyle w:val="Style_1"/>
        <w:ind w:firstLine="690"/>
        <w:jc w:val="both"/>
        <w:rPr>
          <w:sz w:val="29"/>
        </w:rPr>
      </w:pPr>
    </w:p>
    <w:p w14:paraId="10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 главных администраторов доходов бюджета Гляденского сельсовета  и закрепленные за ними доходные источники  согласно приложению.</w:t>
      </w:r>
      <w:r>
        <w:rPr>
          <w:rFonts w:ascii="Times New Roman" w:hAnsi="Times New Roman"/>
          <w:sz w:val="29"/>
        </w:rPr>
        <w:t xml:space="preserve"> </w:t>
      </w:r>
    </w:p>
    <w:p w14:paraId="11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выполнением постановлени</w:t>
      </w:r>
      <w:r>
        <w:rPr>
          <w:rFonts w:ascii="Times New Roman" w:hAnsi="Times New Roman"/>
          <w:sz w:val="28"/>
        </w:rPr>
        <w:t>я оставляю за собой.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9"/>
        </w:rPr>
        <w:t xml:space="preserve">     3.   </w:t>
      </w:r>
      <w:r>
        <w:rPr>
          <w:rFonts w:ascii="Times New Roman" w:hAnsi="Times New Roman"/>
          <w:sz w:val="28"/>
        </w:rPr>
        <w:t>Настоящее постановление  подлежит официальному опубликованию в газете «Советское Причулымье» и</w:t>
      </w:r>
      <w:r>
        <w:rPr>
          <w:rFonts w:ascii="Times New Roman" w:hAnsi="Times New Roman"/>
          <w:sz w:val="28"/>
        </w:rPr>
        <w:t xml:space="preserve"> размещению на официальном сайте администрации  Гляденского сельсовета.</w:t>
      </w:r>
    </w:p>
    <w:p w14:paraId="13000000">
      <w:pPr>
        <w:pStyle w:val="Style_3"/>
        <w:spacing w:after="0" w:line="336" w:lineRule="atLeast"/>
        <w:ind w:firstLine="709"/>
        <w:jc w:val="both"/>
      </w:pPr>
    </w:p>
    <w:p w14:paraId="14000000">
      <w:pPr>
        <w:pStyle w:val="Style_3"/>
        <w:spacing w:after="0" w:line="336" w:lineRule="atLeast"/>
        <w:ind w:firstLine="709"/>
      </w:pPr>
      <w:r>
        <w:t> </w:t>
      </w:r>
    </w:p>
    <w:p w14:paraId="15000000">
      <w:pPr>
        <w:pStyle w:val="Style_1"/>
        <w:ind w:firstLine="690"/>
        <w:rPr>
          <w:sz w:val="29"/>
        </w:rPr>
      </w:pPr>
    </w:p>
    <w:p w14:paraId="16000000">
      <w:pPr>
        <w:pStyle w:val="Style_1"/>
        <w:ind/>
        <w:jc w:val="both"/>
        <w:rPr>
          <w:sz w:val="29"/>
        </w:rPr>
      </w:pPr>
    </w:p>
    <w:p w14:paraId="17000000">
      <w:pPr>
        <w:pStyle w:val="Style_1"/>
        <w:ind w:firstLine="690"/>
        <w:jc w:val="both"/>
        <w:rPr>
          <w:sz w:val="29"/>
        </w:rPr>
      </w:pPr>
    </w:p>
    <w:p w14:paraId="18000000">
      <w:pPr>
        <w:pStyle w:val="Style_1"/>
        <w:rPr>
          <w:sz w:val="29"/>
        </w:rPr>
      </w:pPr>
    </w:p>
    <w:p w14:paraId="19000000">
      <w:pPr>
        <w:pStyle w:val="Style_1"/>
        <w:rPr>
          <w:sz w:val="29"/>
        </w:rPr>
      </w:pPr>
      <w:r>
        <w:rPr>
          <w:sz w:val="29"/>
        </w:rPr>
        <w:t xml:space="preserve"> Глава сельсовета</w:t>
      </w:r>
      <w:r>
        <w:rPr>
          <w:sz w:val="29"/>
        </w:rPr>
        <w:tab/>
      </w:r>
      <w:r>
        <w:rPr>
          <w:sz w:val="29"/>
        </w:rPr>
        <w:t xml:space="preserve">                     </w:t>
      </w:r>
      <w:r>
        <w:rPr>
          <w:sz w:val="29"/>
        </w:rPr>
        <w:t xml:space="preserve">                                    </w:t>
      </w:r>
      <w:r>
        <w:rPr>
          <w:sz w:val="29"/>
        </w:rPr>
        <w:tab/>
      </w:r>
      <w:r>
        <w:rPr>
          <w:sz w:val="29"/>
        </w:rPr>
        <w:t xml:space="preserve">Н. А. Шеметова  </w:t>
      </w:r>
    </w:p>
    <w:p w14:paraId="1A000000"/>
    <w:p w14:paraId="1B000000"/>
    <w:p w14:paraId="1C000000"/>
    <w:p w14:paraId="1D000000"/>
    <w:p w14:paraId="1E000000"/>
    <w:p w14:paraId="1F000000">
      <w:pPr>
        <w:ind w:firstLine="0" w:left="595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 к Постановлению № 104-П от 13.12.2024 г. «Об утверждении перечня главных администраторов доходов бюджета Гляденского сельсовета  и закрепленных за ними доходные источники»</w:t>
      </w:r>
    </w:p>
    <w:tbl>
      <w:tblPr>
        <w:tblStyle w:val="Style_4"/>
        <w:tblInd w:type="dxa" w:w="-459"/>
        <w:tblLayout w:type="fixed"/>
      </w:tblPr>
      <w:tblGrid>
        <w:gridCol w:w="654"/>
        <w:gridCol w:w="627"/>
        <w:gridCol w:w="627"/>
        <w:gridCol w:w="627"/>
        <w:gridCol w:w="627"/>
        <w:gridCol w:w="627"/>
        <w:gridCol w:w="627"/>
        <w:gridCol w:w="627"/>
        <w:gridCol w:w="627"/>
        <w:gridCol w:w="4395"/>
      </w:tblGrid>
      <w:tr>
        <w:trPr>
          <w:trHeight w:hRule="atLeast" w:val="735"/>
        </w:trPr>
        <w:tc>
          <w:tcPr>
            <w:tcW w:type="dxa" w:w="10065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Перечень гла</w:t>
            </w:r>
            <w:r>
              <w:rPr>
                <w:rFonts w:ascii="Times New Roman" w:hAnsi="Times New Roman"/>
                <w:b w:val="1"/>
              </w:rPr>
              <w:t xml:space="preserve">вных администраторов доходов бюджета Гляденского сельсовета 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и закрепленные за ними доходные источники</w:t>
            </w:r>
          </w:p>
        </w:tc>
      </w:tr>
      <w:tr>
        <w:trPr>
          <w:trHeight w:hRule="atLeast" w:val="300"/>
        </w:trPr>
        <w:tc>
          <w:tcPr>
            <w:tcW w:type="dxa" w:w="65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строки</w:t>
            </w:r>
          </w:p>
        </w:tc>
        <w:tc>
          <w:tcPr>
            <w:tcW w:type="dxa" w:w="5016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бюджетной классификации</w:t>
            </w:r>
          </w:p>
        </w:tc>
        <w:tc>
          <w:tcPr>
            <w:tcW w:type="dxa" w:w="439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кода классификации доходов бюджета</w:t>
            </w:r>
          </w:p>
        </w:tc>
      </w:tr>
      <w:tr>
        <w:trPr>
          <w:trHeight w:hRule="atLeast" w:val="1095"/>
        </w:trPr>
        <w:tc>
          <w:tcPr>
            <w:tcW w:type="dxa" w:w="65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главного администратора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группы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подгруппы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статьи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подстатьи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элемента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код группы подвида 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код аналитической группы подвида </w:t>
            </w:r>
          </w:p>
        </w:tc>
        <w:tc>
          <w:tcPr>
            <w:tcW w:type="dxa" w:w="439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</w:tr>
      <w:tr>
        <w:trPr>
          <w:trHeight w:hRule="atLeast" w:val="278"/>
          <w:hidden w:val="0"/>
        </w:trPr>
        <w:tc>
          <w:tcPr>
            <w:tcW w:type="dxa" w:w="6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182</w:t>
            </w:r>
          </w:p>
        </w:tc>
        <w:tc>
          <w:tcPr>
            <w:tcW w:type="dxa" w:w="8784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Федеральная налоговая служба</w:t>
            </w:r>
          </w:p>
        </w:tc>
      </w:tr>
      <w:tr>
        <w:trPr>
          <w:trHeight w:hRule="atLeast" w:val="1305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</w:tr>
      <w:tr>
        <w:trPr>
          <w:trHeight w:hRule="atLeast" w:val="13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уплаты акцизов на моторные масла для дизельных и (или) карбюраторных (</w:t>
            </w:r>
            <w:r>
              <w:rPr>
                <w:rFonts w:ascii="Times New Roman" w:hAnsi="Times New Roman"/>
                <w:sz w:val="16"/>
              </w:rPr>
              <w:t>инжекторных</w:t>
            </w:r>
            <w:r>
              <w:rPr>
                <w:rFonts w:ascii="Times New Roman" w:hAnsi="Times New Roman"/>
                <w:sz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13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13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  <w:bookmarkStart w:id="1" w:name="_GoBack"/>
            <w:bookmarkEnd w:id="1"/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hRule="atLeast" w:val="296"/>
          <w:hidden w:val="0"/>
        </w:trPr>
        <w:tc>
          <w:tcPr>
            <w:tcW w:type="dxa" w:w="6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8784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.</w:t>
            </w:r>
          </w:p>
        </w:tc>
      </w:tr>
      <w:tr>
        <w:trPr>
          <w:trHeight w:hRule="atLeast" w:val="58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>
        <w:trPr>
          <w:trHeight w:hRule="atLeast" w:val="58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hRule="atLeast" w:val="58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>
        <w:trPr>
          <w:trHeight w:hRule="atLeast" w:val="779"/>
          <w:hidden w:val="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</w:tr>
      <w:tr>
        <w:trPr>
          <w:trHeight w:hRule="atLeast" w:val="33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807</w:t>
            </w:r>
          </w:p>
        </w:tc>
        <w:tc>
          <w:tcPr>
            <w:tcW w:type="dxa" w:w="878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Администрация Гляденского сельсовета Назаровского района Красноярского края</w:t>
            </w:r>
          </w:p>
        </w:tc>
      </w:tr>
      <w:tr>
        <w:trPr>
          <w:trHeight w:hRule="atLeast" w:val="915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hRule="atLeast" w:val="769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r>
              <w:rPr>
                <w:rFonts w:ascii="Times New Roman" w:hAnsi="Times New Roman"/>
                <w:sz w:val="16"/>
              </w:rPr>
              <w:t>й(</w:t>
            </w:r>
            <w:r>
              <w:rPr>
                <w:rFonts w:ascii="Times New Roman" w:hAnsi="Times New Roman"/>
                <w:sz w:val="16"/>
              </w:rPr>
              <w:t>пени)</w:t>
            </w:r>
          </w:p>
        </w:tc>
      </w:tr>
      <w:tr>
        <w:trPr>
          <w:trHeight w:hRule="atLeast" w:val="114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89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hRule="atLeast" w:val="7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hRule="atLeast" w:val="49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hRule="atLeast" w:val="826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hRule="atLeast" w:val="26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3.8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hRule="atLeast" w:val="35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053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hRule="atLeast" w:val="45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hRule="atLeast" w:val="130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053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rHeight w:hRule="atLeast" w:val="717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hRule="atLeast" w:val="675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3.13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hRule="atLeast" w:val="705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 предприятиями</w:t>
            </w:r>
          </w:p>
        </w:tc>
      </w:tr>
      <w:tr>
        <w:trPr>
          <w:trHeight w:hRule="atLeast" w:val="28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hRule="atLeast" w:val="28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неналоговые доходы бюджетов сельских поселений</w:t>
            </w:r>
          </w:p>
        </w:tc>
      </w:tr>
      <w:tr>
        <w:trPr>
          <w:trHeight w:hRule="atLeast" w:val="1477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Дотации на выравнивание бюджетной обеспеченности поселений за счет сре</w:t>
            </w:r>
            <w:r>
              <w:rPr>
                <w:rFonts w:ascii="Times New Roman" w:hAnsi="Times New Roman"/>
                <w:sz w:val="16"/>
                <w:highlight w:val="white"/>
              </w:rPr>
              <w:t>дств кр</w:t>
            </w:r>
            <w:r>
              <w:rPr>
                <w:rFonts w:ascii="Times New Roman" w:hAnsi="Times New Roman"/>
                <w:sz w:val="16"/>
                <w:highlight w:val="white"/>
              </w:rPr>
              <w:t>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</w:tr>
      <w:tr>
        <w:trPr>
          <w:trHeight w:hRule="atLeast" w:val="1583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8601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Дотации на выравнивание бюджетной обеспеченности поселений за счет средств районного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</w:tr>
      <w:tr>
        <w:trPr>
          <w:trHeight w:hRule="atLeast" w:val="115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Субвенции бюджетам сельских поселений на выполнение  передаваемых полномочий субъектов Российской Федерации</w:t>
            </w:r>
          </w:p>
        </w:tc>
      </w:tr>
      <w:tr>
        <w:trPr>
          <w:trHeight w:hRule="atLeast" w:val="49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rPr>
          <w:trHeight w:hRule="atLeast" w:val="7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Межбюджетные трансферты, передаваемые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</w:tr>
      <w:tr>
        <w:trPr>
          <w:trHeight w:hRule="atLeast" w:val="7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2722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частичную компенсацию расходов на оплату труда работников муниципальных учреждений в рамках непрограммных расходов органов местного самоуправления</w:t>
            </w:r>
          </w:p>
        </w:tc>
      </w:tr>
      <w:tr>
        <w:trPr>
          <w:trHeight w:hRule="atLeast" w:val="1619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3.23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1060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 (на реализацию мероприятий, направленных на повышение безопасности дорожного движения за счет средств дорожного фонда Красноярского края в рамках отдельных мероприятий  муниципальной программы "Развитие транспортной системы")</w:t>
            </w:r>
          </w:p>
        </w:tc>
      </w:tr>
      <w:tr>
        <w:trPr>
          <w:trHeight w:hRule="atLeast" w:val="48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7412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>
        <w:trPr>
          <w:trHeight w:hRule="atLeast" w:val="69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>
        <w:trPr>
          <w:trHeight w:hRule="atLeast" w:val="70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3.26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>
        <w:trPr>
          <w:trHeight w:hRule="atLeast" w:val="141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7571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>
        <w:trPr>
          <w:trHeight w:hRule="atLeast" w:val="114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7641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"Поддержка местных инициатив" государственной программы Красноярского края "Содействие развитию местного самоуправления")</w:t>
            </w:r>
          </w:p>
        </w:tc>
      </w:tr>
      <w:tr>
        <w:trPr>
          <w:trHeight w:hRule="atLeast" w:val="91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7745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самоуправления")</w:t>
            </w:r>
          </w:p>
        </w:tc>
      </w:tr>
      <w:tr>
        <w:trPr>
          <w:trHeight w:hRule="atLeast" w:val="136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</w:p>
        </w:tc>
      </w:tr>
      <w:tr>
        <w:trPr>
          <w:trHeight w:hRule="atLeast" w:val="1450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3.31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8602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Межбюджетные трансферты по обеспечению сбалансированности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</w:tr>
      <w:tr>
        <w:trPr>
          <w:trHeight w:hRule="atLeast" w:val="30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both"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 xml:space="preserve">Субсидии бюджетам сельских поселений </w:t>
            </w:r>
            <w:r>
              <w:rPr>
                <w:rFonts w:ascii="Times New Roman" w:hAnsi="Times New Roman"/>
                <w:sz w:val="16"/>
                <w:highlight w:val="white"/>
              </w:rPr>
              <w:t xml:space="preserve">( </w:t>
            </w:r>
            <w:r>
              <w:rPr>
                <w:rFonts w:ascii="Times New Roman" w:hAnsi="Times New Roman"/>
                <w:sz w:val="16"/>
                <w:highlight w:val="white"/>
              </w:rPr>
              <w:t>на проведение комплексных кадастровых работ)</w:t>
            </w:r>
          </w:p>
        </w:tc>
      </w:tr>
      <w:tr>
        <w:trPr>
          <w:trHeight w:hRule="atLeast" w:val="21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3.33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both"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Субсидии бюджетам сельских поселений (на  софинансирование муниципальных программ формирования современной городской среды)</w:t>
            </w:r>
          </w:p>
        </w:tc>
      </w:tr>
      <w:tr>
        <w:trPr>
          <w:trHeight w:hRule="atLeast" w:val="22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7844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ind/>
              <w:jc w:val="both"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Субсидии бюджетам сельских поселений (на реализацию мероприятий по благоустройству территорию)</w:t>
            </w:r>
          </w:p>
        </w:tc>
      </w:tr>
      <w:tr>
        <w:trPr>
          <w:trHeight w:hRule="atLeast" w:val="22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both"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 xml:space="preserve">Субсидии бюджетам сельских поселений (на капитальный ремонт и ремонт автомобильных дорог общего пользования местного значения за счет  средств дорожного фонда </w:t>
            </w:r>
            <w:r>
              <w:rPr>
                <w:rFonts w:ascii="Times New Roman" w:hAnsi="Times New Roman"/>
                <w:sz w:val="16"/>
                <w:highlight w:val="white"/>
              </w:rPr>
              <w:t>Красноярского края)</w:t>
            </w:r>
          </w:p>
        </w:tc>
      </w:tr>
      <w:tr>
        <w:trPr>
          <w:trHeight w:hRule="atLeast" w:val="731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3.36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1060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both"/>
              <w:rPr>
                <w:rFonts w:ascii="Times New Roman" w:hAnsi="Times New Roman"/>
                <w:sz w:val="16"/>
                <w:highlight w:val="white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>
        <w:trPr>
          <w:trHeight w:hRule="atLeast" w:val="435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099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>
        <w:trPr>
          <w:trHeight w:hRule="atLeast" w:val="478"/>
        </w:trPr>
        <w:tc>
          <w:tcPr>
            <w:tcW w:type="dxa" w:w="6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hRule="atLeast" w:val="17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>
        <w:trPr>
          <w:trHeight w:hRule="atLeast" w:val="505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3.40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>
        <w:trPr>
          <w:trHeight w:hRule="atLeast" w:val="594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3.41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>
        <w:trPr>
          <w:trHeight w:hRule="atLeast" w:val="225"/>
        </w:trPr>
        <w:tc>
          <w:tcPr>
            <w:tcW w:type="dxa" w:w="6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094</w:t>
            </w:r>
          </w:p>
        </w:tc>
        <w:tc>
          <w:tcPr>
            <w:tcW w:type="dxa" w:w="8784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Финансовое управление администрации Назаровского района</w:t>
            </w:r>
          </w:p>
        </w:tc>
      </w:tr>
      <w:tr>
        <w:trPr>
          <w:trHeight w:hRule="atLeast" w:val="130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094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hRule="atLeast" w:val="57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4.2.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094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Перечисления из бюджетов сельских поселений </w:t>
            </w:r>
            <w:r>
              <w:rPr>
                <w:rFonts w:ascii="Times New Roman" w:hAnsi="Times New Roman"/>
                <w:sz w:val="16"/>
              </w:rPr>
              <w:t xml:space="preserve">( </w:t>
            </w:r>
            <w:r>
              <w:rPr>
                <w:rFonts w:ascii="Times New Roman" w:hAnsi="Times New Roman"/>
                <w:sz w:val="16"/>
              </w:rPr>
              <w:t xml:space="preserve">в бюджеты сельских поселений) для осуществления взысканий </w:t>
            </w:r>
          </w:p>
        </w:tc>
      </w:tr>
      <w:tr>
        <w:trPr>
          <w:trHeight w:hRule="atLeast" w:val="35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439</w:t>
            </w:r>
          </w:p>
        </w:tc>
        <w:tc>
          <w:tcPr>
            <w:tcW w:type="dxa" w:w="8784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hRule="atLeast" w:val="63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439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type="dxa" w:w="6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type="dxa" w:w="43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14:paraId="57020000">
      <w:pPr>
        <w:rPr>
          <w:rFonts w:ascii="Times New Roman" w:hAnsi="Times New Roman"/>
        </w:rPr>
      </w:pPr>
    </w:p>
    <w:p w14:paraId="58020000">
      <w:pPr>
        <w:rPr>
          <w:rFonts w:ascii="Times New Roman" w:hAnsi="Times New Roman"/>
        </w:rPr>
      </w:pPr>
    </w:p>
    <w:p w14:paraId="59020000">
      <w:pPr>
        <w:rPr>
          <w:rFonts w:ascii="Times New Roman" w:hAnsi="Times New Roman"/>
        </w:rPr>
      </w:pPr>
    </w:p>
    <w:p w14:paraId="5A020000">
      <w:pPr>
        <w:rPr>
          <w:rFonts w:ascii="Times New Roman" w:hAnsi="Times New Roman"/>
        </w:rPr>
      </w:pPr>
    </w:p>
    <w:sectPr>
      <w:pgSz w:h="16838" w:w="11906"/>
      <w:pgMar w:bottom="0" w:footer="708" w:gutter="0" w:header="708" w:left="1701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Обычный (веб)1"/>
    <w:basedOn w:val="Style_11"/>
    <w:link w:val="Style_10_ch"/>
    <w:rPr>
      <w:rFonts w:ascii="Times New Roman" w:hAnsi="Times New Roman"/>
      <w:sz w:val="24"/>
    </w:rPr>
  </w:style>
  <w:style w:styleId="Style_10_ch" w:type="character">
    <w:name w:val="Обычный (веб)1"/>
    <w:basedOn w:val="Style_11_ch"/>
    <w:link w:val="Style_10"/>
    <w:rPr>
      <w:rFonts w:ascii="Times New Roman" w:hAnsi="Times New Roman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next w:val="Style_5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" w:type="paragraph">
    <w:name w:val="Standard"/>
    <w:link w:val="Style_1_ch"/>
    <w:pPr>
      <w:widowControl w:val="0"/>
      <w:ind/>
    </w:pPr>
    <w:rPr>
      <w:sz w:val="24"/>
    </w:rPr>
  </w:style>
  <w:style w:styleId="Style_1_ch" w:type="character">
    <w:name w:val="Standard"/>
    <w:link w:val="Style_1"/>
    <w:rPr>
      <w:sz w:val="24"/>
    </w:rPr>
  </w:style>
  <w:style w:styleId="Style_2" w:type="paragraph">
    <w:name w:val="Body Text"/>
    <w:basedOn w:val="Style_5"/>
    <w:link w:val="Style_2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8"/>
    </w:rPr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next w:val="Style_5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11" w:type="paragraph">
    <w:name w:val="Обычный1"/>
    <w:link w:val="Style_11_ch"/>
    <w:rPr>
      <w:rFonts w:ascii="Calibri" w:hAnsi="Calibri"/>
      <w:sz w:val="22"/>
    </w:rPr>
  </w:style>
  <w:style w:styleId="Style_11_ch" w:type="character">
    <w:name w:val="Обычный1"/>
    <w:link w:val="Style_11"/>
    <w:rPr>
      <w:rFonts w:ascii="Calibri" w:hAnsi="Calibri"/>
      <w:sz w:val="22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5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5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2024-12-17T06:14:43Z</dcterms:modified>
</cp:coreProperties>
</file>